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34E" w:rsidRDefault="006F5C52" w:rsidP="0021734E">
      <w:pPr>
        <w:tabs>
          <w:tab w:val="num" w:pos="284"/>
        </w:tabs>
        <w:spacing w:line="276" w:lineRule="auto"/>
        <w:jc w:val="both"/>
        <w:outlineLvl w:val="0"/>
        <w:rPr>
          <w:rFonts w:cs="Times New Roman"/>
          <w:b/>
          <w:szCs w:val="24"/>
        </w:rPr>
      </w:pPr>
      <w:r>
        <w:rPr>
          <w:rFonts w:cs="Times New Roman"/>
          <w:b/>
          <w:szCs w:val="24"/>
        </w:rPr>
        <w:t>1</w:t>
      </w:r>
      <w:r>
        <w:rPr>
          <w:rFonts w:cs="Times New Roman"/>
          <w:b/>
          <w:szCs w:val="24"/>
          <w:vertAlign w:val="superscript"/>
        </w:rPr>
        <w:t xml:space="preserve">ο </w:t>
      </w:r>
      <w:r>
        <w:rPr>
          <w:rFonts w:cs="Times New Roman"/>
          <w:b/>
          <w:szCs w:val="24"/>
        </w:rPr>
        <w:t>εργαστήριο</w:t>
      </w:r>
    </w:p>
    <w:p w:rsidR="00EF3483" w:rsidRDefault="006F5C52" w:rsidP="006F5C52">
      <w:pPr>
        <w:jc w:val="both"/>
        <w:rPr>
          <w:bCs/>
          <w:iCs/>
        </w:rPr>
      </w:pPr>
      <w:r w:rsidRPr="006F5C52">
        <w:rPr>
          <w:bCs/>
          <w:iCs/>
        </w:rPr>
        <w:t xml:space="preserve">Ασύγχρονη μάθηση. Οι μαθητές θα παραλάβουν στο </w:t>
      </w:r>
      <w:r w:rsidRPr="006F5C52">
        <w:rPr>
          <w:bCs/>
          <w:iCs/>
          <w:lang w:val="en-US"/>
        </w:rPr>
        <w:t>e</w:t>
      </w:r>
      <w:r w:rsidRPr="006F5C52">
        <w:rPr>
          <w:bCs/>
          <w:iCs/>
        </w:rPr>
        <w:t>-</w:t>
      </w:r>
      <w:r w:rsidRPr="006F5C52">
        <w:rPr>
          <w:bCs/>
          <w:iCs/>
          <w:lang w:val="en-US"/>
        </w:rPr>
        <w:t>mail</w:t>
      </w:r>
      <w:r w:rsidRPr="006F5C52">
        <w:rPr>
          <w:bCs/>
          <w:iCs/>
        </w:rPr>
        <w:t xml:space="preserve"> τους τη φωτογραφία από την πρώτη συνάντηση, θα αναζητήσουν βίντεο στο διαδίκτυο για τα ανθρώπινα δικαιώματα ή τα δικαιώματα του παιδιού για το 2</w:t>
      </w:r>
      <w:r w:rsidRPr="006F5C52">
        <w:rPr>
          <w:bCs/>
          <w:iCs/>
          <w:vertAlign w:val="superscript"/>
        </w:rPr>
        <w:t>ο</w:t>
      </w:r>
      <w:r w:rsidRPr="006F5C52">
        <w:rPr>
          <w:bCs/>
          <w:iCs/>
        </w:rPr>
        <w:t xml:space="preserve"> εργαστήριο. Θα ανταλλάξουν μεταξύ τους πληροφορίες και θα επιλέξουν τελικά ένα βίντεο περίπου 5-7’.  Θα συμπληρώσουν συνεργατικό φύλλο αξιολόγησης ή φόρμα </w:t>
      </w:r>
      <w:r w:rsidRPr="006F5C52">
        <w:rPr>
          <w:bCs/>
          <w:iCs/>
          <w:lang w:val="en-US"/>
        </w:rPr>
        <w:t>google</w:t>
      </w:r>
      <w:r w:rsidRPr="006F5C52">
        <w:rPr>
          <w:bCs/>
          <w:iCs/>
        </w:rPr>
        <w:t xml:space="preserve"> για τον βαθμό ενημέρωσης και ευαισθητοποίησής της τάξης τους στα ανθρώπινα δικαιώματα. (Φύλλο εργασίας 1 και 2).  Εναλλακτικά προτείνεται να γίνει στην τάξη.  </w:t>
      </w:r>
    </w:p>
    <w:p w:rsidR="006F5C52" w:rsidRPr="006F5C52" w:rsidRDefault="006F5C52" w:rsidP="006F5C52">
      <w:pPr>
        <w:jc w:val="both"/>
        <w:rPr>
          <w:b/>
          <w:bCs/>
          <w:iCs/>
        </w:rPr>
      </w:pPr>
      <w:r w:rsidRPr="006F5C52">
        <w:rPr>
          <w:b/>
          <w:bCs/>
          <w:iCs/>
        </w:rPr>
        <w:t>2</w:t>
      </w:r>
      <w:r w:rsidRPr="006F5C52">
        <w:rPr>
          <w:b/>
          <w:bCs/>
          <w:iCs/>
          <w:vertAlign w:val="superscript"/>
        </w:rPr>
        <w:t>ο</w:t>
      </w:r>
      <w:r w:rsidRPr="006F5C52">
        <w:rPr>
          <w:b/>
          <w:bCs/>
          <w:iCs/>
        </w:rPr>
        <w:t xml:space="preserve"> εργαστήριο</w:t>
      </w:r>
    </w:p>
    <w:p w:rsidR="006F5C52" w:rsidRDefault="006F5C52" w:rsidP="006F5C52">
      <w:pPr>
        <w:spacing w:line="276" w:lineRule="auto"/>
        <w:jc w:val="both"/>
        <w:rPr>
          <w:rFonts w:eastAsia="Times New Roman" w:cstheme="minorHAnsi"/>
          <w:bCs/>
          <w:iCs/>
          <w:szCs w:val="24"/>
          <w:u w:color="000000"/>
        </w:rPr>
      </w:pPr>
      <w:r w:rsidRPr="00EC4F07">
        <w:rPr>
          <w:rFonts w:eastAsia="Times New Roman" w:cstheme="minorHAnsi"/>
          <w:bCs/>
          <w:iCs/>
          <w:szCs w:val="24"/>
          <w:u w:color="000000"/>
        </w:rPr>
        <w:t>Σε μία διδακτική ώρα των Εικαστικών οι μαθητές</w:t>
      </w:r>
      <w:r>
        <w:rPr>
          <w:rFonts w:eastAsia="Times New Roman" w:cstheme="minorHAnsi"/>
          <w:bCs/>
          <w:iCs/>
          <w:szCs w:val="24"/>
          <w:u w:color="000000"/>
        </w:rPr>
        <w:t>/τριες</w:t>
      </w:r>
      <w:r w:rsidRPr="00EC4F07">
        <w:rPr>
          <w:rFonts w:eastAsia="Times New Roman" w:cstheme="minorHAnsi"/>
          <w:bCs/>
          <w:iCs/>
          <w:szCs w:val="24"/>
          <w:u w:color="000000"/>
        </w:rPr>
        <w:t xml:space="preserve"> θα γράψουν τα άρθρα της Χάρτας σ’ ένα χαρτόνι και θα σχεδιάσουν</w:t>
      </w:r>
      <w:r>
        <w:rPr>
          <w:rFonts w:eastAsia="Times New Roman" w:cstheme="minorHAnsi"/>
          <w:bCs/>
          <w:iCs/>
          <w:szCs w:val="24"/>
          <w:u w:color="000000"/>
        </w:rPr>
        <w:t>, θα ζωγραφίσουν ή θα δημιουργήσουν κολλάζ.</w:t>
      </w:r>
      <w:r w:rsidRPr="00EC4F07">
        <w:rPr>
          <w:rFonts w:eastAsia="Times New Roman" w:cstheme="minorHAnsi"/>
          <w:bCs/>
          <w:iCs/>
          <w:szCs w:val="24"/>
          <w:u w:color="000000"/>
        </w:rPr>
        <w:t xml:space="preserve"> Το συμβόλαιο αναρτάται στον τοίχο της τάξης. Ένας από τους βασικούς στόχους είναι η συμμετοχή όλων των μαθητών/τριών.</w:t>
      </w:r>
    </w:p>
    <w:p w:rsidR="006F5C52" w:rsidRDefault="006F5C52" w:rsidP="006F5C52">
      <w:pPr>
        <w:spacing w:line="276" w:lineRule="auto"/>
        <w:jc w:val="both"/>
        <w:rPr>
          <w:rFonts w:eastAsia="Times New Roman" w:cstheme="minorHAnsi"/>
          <w:b/>
          <w:bCs/>
          <w:iCs/>
          <w:szCs w:val="24"/>
          <w:u w:color="000000"/>
        </w:rPr>
      </w:pPr>
      <w:r w:rsidRPr="006F5C52">
        <w:rPr>
          <w:rFonts w:eastAsia="Times New Roman" w:cstheme="minorHAnsi"/>
          <w:b/>
          <w:bCs/>
          <w:iCs/>
          <w:szCs w:val="24"/>
          <w:u w:color="000000"/>
        </w:rPr>
        <w:t>3</w:t>
      </w:r>
      <w:r w:rsidRPr="006F5C52">
        <w:rPr>
          <w:rFonts w:eastAsia="Times New Roman" w:cstheme="minorHAnsi"/>
          <w:b/>
          <w:bCs/>
          <w:iCs/>
          <w:szCs w:val="24"/>
          <w:u w:color="000000"/>
          <w:vertAlign w:val="superscript"/>
        </w:rPr>
        <w:t>ο</w:t>
      </w:r>
      <w:r w:rsidRPr="006F5C52">
        <w:rPr>
          <w:rFonts w:eastAsia="Times New Roman" w:cstheme="minorHAnsi"/>
          <w:b/>
          <w:bCs/>
          <w:iCs/>
          <w:szCs w:val="24"/>
          <w:u w:color="000000"/>
        </w:rPr>
        <w:t xml:space="preserve"> εργαστήριο</w:t>
      </w:r>
    </w:p>
    <w:p w:rsidR="006F5C52" w:rsidRDefault="006F5C52" w:rsidP="006F5C52">
      <w:pPr>
        <w:pBdr>
          <w:top w:val="nil"/>
          <w:left w:val="nil"/>
          <w:bottom w:val="nil"/>
          <w:right w:val="nil"/>
          <w:between w:val="nil"/>
          <w:bar w:val="nil"/>
        </w:pBdr>
        <w:spacing w:line="276" w:lineRule="auto"/>
        <w:jc w:val="both"/>
        <w:rPr>
          <w:rFonts w:eastAsia="Times New Roman" w:cstheme="minorHAnsi"/>
          <w:bCs/>
          <w:iCs/>
          <w:szCs w:val="24"/>
          <w:u w:color="000000"/>
        </w:rPr>
      </w:pPr>
      <w:r w:rsidRPr="006F5C52">
        <w:rPr>
          <w:rFonts w:eastAsia="Times New Roman" w:cstheme="minorHAnsi"/>
          <w:bCs/>
          <w:iCs/>
          <w:szCs w:val="24"/>
          <w:u w:color="000000"/>
        </w:rPr>
        <w:t>Στο μάθημα της Οικιακής Οικονομίας, της Ξένης/ξένων Γλώσσας/ών ή της Νεοελληνικής Γλώσσας</w:t>
      </w:r>
      <w:r w:rsidRPr="00EC4F07">
        <w:rPr>
          <w:rFonts w:eastAsia="Times New Roman" w:cstheme="minorHAnsi"/>
          <w:b/>
          <w:bCs/>
          <w:i/>
          <w:iCs/>
          <w:szCs w:val="24"/>
          <w:u w:color="000000"/>
        </w:rPr>
        <w:t xml:space="preserve"> </w:t>
      </w:r>
      <w:r w:rsidRPr="00EC4F07">
        <w:rPr>
          <w:rFonts w:eastAsia="Times New Roman" w:cstheme="minorHAnsi"/>
          <w:b/>
          <w:bCs/>
          <w:iCs/>
          <w:szCs w:val="24"/>
          <w:u w:color="000000"/>
        </w:rPr>
        <w:t xml:space="preserve"> </w:t>
      </w:r>
      <w:r w:rsidRPr="00EC4F07">
        <w:rPr>
          <w:rFonts w:eastAsia="Times New Roman" w:cstheme="minorHAnsi"/>
          <w:bCs/>
          <w:iCs/>
          <w:szCs w:val="24"/>
          <w:u w:color="000000"/>
        </w:rPr>
        <w:t>Στα σημεία που διαπιστώθηκαν ελλείμματα προτείνονται διορθώσε</w:t>
      </w:r>
      <w:r>
        <w:rPr>
          <w:rFonts w:eastAsia="Times New Roman" w:cstheme="minorHAnsi"/>
          <w:bCs/>
          <w:iCs/>
          <w:szCs w:val="24"/>
          <w:u w:color="000000"/>
        </w:rPr>
        <w:t>ις και η Χάρτα ενημερώνεται με τις νέες προσθήκες</w:t>
      </w:r>
      <w:r w:rsidRPr="00EC4F07">
        <w:rPr>
          <w:rFonts w:eastAsia="Times New Roman" w:cstheme="minorHAnsi"/>
          <w:bCs/>
          <w:iCs/>
          <w:szCs w:val="24"/>
          <w:u w:color="000000"/>
        </w:rPr>
        <w:t xml:space="preserve"> π.χ. η Χάρτα είναι κατανοητή από τους/τις  συμμαθητές/τριες</w:t>
      </w:r>
      <w:r>
        <w:rPr>
          <w:rFonts w:eastAsia="Times New Roman" w:cstheme="minorHAnsi"/>
          <w:bCs/>
          <w:iCs/>
          <w:szCs w:val="24"/>
          <w:u w:color="000000"/>
        </w:rPr>
        <w:t xml:space="preserve"> μας πρόσφυγες.</w:t>
      </w:r>
    </w:p>
    <w:tbl>
      <w:tblPr>
        <w:tblStyle w:val="a5"/>
        <w:tblW w:w="8217" w:type="dxa"/>
        <w:tblLook w:val="04A0" w:firstRow="1" w:lastRow="0" w:firstColumn="1" w:lastColumn="0" w:noHBand="0" w:noVBand="1"/>
      </w:tblPr>
      <w:tblGrid>
        <w:gridCol w:w="2621"/>
        <w:gridCol w:w="1456"/>
        <w:gridCol w:w="4140"/>
      </w:tblGrid>
      <w:tr w:rsidR="00DF4E67" w:rsidRPr="00EC4F07" w:rsidTr="00631F7B">
        <w:tc>
          <w:tcPr>
            <w:tcW w:w="2621" w:type="dxa"/>
          </w:tcPr>
          <w:p w:rsidR="00DF4E67" w:rsidRPr="00EC4F07" w:rsidRDefault="00DF4E67" w:rsidP="00631F7B">
            <w:pPr>
              <w:spacing w:line="276" w:lineRule="auto"/>
              <w:jc w:val="both"/>
              <w:rPr>
                <w:rFonts w:cstheme="minorHAnsi"/>
                <w:b/>
                <w:bCs/>
                <w:iCs/>
                <w:sz w:val="22"/>
                <w:szCs w:val="24"/>
                <w:u w:color="000000"/>
              </w:rPr>
            </w:pPr>
            <w:r>
              <w:rPr>
                <w:rFonts w:cstheme="minorHAnsi"/>
                <w:b/>
                <w:bCs/>
                <w:iCs/>
                <w:sz w:val="22"/>
                <w:szCs w:val="24"/>
                <w:u w:color="000000"/>
              </w:rPr>
              <w:t>Μαθητής</w:t>
            </w:r>
          </w:p>
        </w:tc>
        <w:tc>
          <w:tcPr>
            <w:tcW w:w="5596" w:type="dxa"/>
            <w:gridSpan w:val="2"/>
          </w:tcPr>
          <w:p w:rsidR="00DF4E67" w:rsidRPr="00EC4F07" w:rsidRDefault="00DF4E67" w:rsidP="00631F7B">
            <w:pPr>
              <w:spacing w:line="276" w:lineRule="auto"/>
              <w:jc w:val="both"/>
              <w:rPr>
                <w:b/>
                <w:sz w:val="22"/>
                <w:szCs w:val="24"/>
              </w:rPr>
            </w:pPr>
          </w:p>
        </w:tc>
      </w:tr>
      <w:tr w:rsidR="00DF4E67" w:rsidRPr="00EC4F07" w:rsidTr="00631F7B">
        <w:tc>
          <w:tcPr>
            <w:tcW w:w="2621" w:type="dxa"/>
          </w:tcPr>
          <w:p w:rsidR="00DF4E67" w:rsidRPr="00EC4F07" w:rsidRDefault="00DF4E67" w:rsidP="00631F7B">
            <w:pPr>
              <w:spacing w:line="276" w:lineRule="auto"/>
              <w:jc w:val="both"/>
              <w:rPr>
                <w:rFonts w:cstheme="minorHAnsi"/>
                <w:b/>
                <w:bCs/>
                <w:iCs/>
                <w:sz w:val="22"/>
                <w:szCs w:val="24"/>
                <w:u w:color="000000"/>
              </w:rPr>
            </w:pPr>
            <w:r w:rsidRPr="00EC4F07">
              <w:rPr>
                <w:rFonts w:cstheme="minorHAnsi"/>
                <w:b/>
                <w:bCs/>
                <w:iCs/>
                <w:sz w:val="22"/>
                <w:szCs w:val="24"/>
                <w:u w:color="000000"/>
              </w:rPr>
              <w:t xml:space="preserve">Άρθρα της Σύμβασης των Δικαιωμάτων του Παιδιού </w:t>
            </w:r>
          </w:p>
        </w:tc>
        <w:tc>
          <w:tcPr>
            <w:tcW w:w="1456" w:type="dxa"/>
          </w:tcPr>
          <w:p w:rsidR="00DF4E67" w:rsidRPr="00EC4F07" w:rsidRDefault="00DF4E67" w:rsidP="00631F7B">
            <w:pPr>
              <w:spacing w:line="276" w:lineRule="auto"/>
              <w:jc w:val="both"/>
              <w:rPr>
                <w:b/>
                <w:sz w:val="22"/>
                <w:szCs w:val="24"/>
              </w:rPr>
            </w:pPr>
            <w:r w:rsidRPr="00EC4F07">
              <w:rPr>
                <w:b/>
                <w:sz w:val="22"/>
                <w:szCs w:val="24"/>
              </w:rPr>
              <w:t>Διαπιστώνω πρόβλημα σε σχέση με τη Χάρτα της τάξης; ΝΑΙ/ΟΧΙ</w:t>
            </w:r>
          </w:p>
        </w:tc>
        <w:tc>
          <w:tcPr>
            <w:tcW w:w="4140" w:type="dxa"/>
          </w:tcPr>
          <w:p w:rsidR="00DF4E67" w:rsidRPr="00EC4F07" w:rsidRDefault="00DF4E67" w:rsidP="00631F7B">
            <w:pPr>
              <w:spacing w:line="276" w:lineRule="auto"/>
              <w:jc w:val="both"/>
              <w:rPr>
                <w:b/>
                <w:sz w:val="22"/>
                <w:szCs w:val="24"/>
              </w:rPr>
            </w:pPr>
            <w:r w:rsidRPr="00EC4F07">
              <w:rPr>
                <w:b/>
                <w:sz w:val="22"/>
                <w:szCs w:val="24"/>
              </w:rPr>
              <w:t>Προτείνω λύση (ενδεικτικά παραδείγματα)</w:t>
            </w:r>
          </w:p>
        </w:tc>
      </w:tr>
      <w:tr w:rsidR="00DF4E67" w:rsidRPr="00EC4F07" w:rsidTr="00631F7B">
        <w:tc>
          <w:tcPr>
            <w:tcW w:w="2621" w:type="dxa"/>
          </w:tcPr>
          <w:p w:rsidR="00DF4E67" w:rsidRDefault="00DF4E67" w:rsidP="00631F7B">
            <w:pPr>
              <w:spacing w:line="276" w:lineRule="auto"/>
              <w:jc w:val="both"/>
              <w:rPr>
                <w:rFonts w:cstheme="minorHAnsi"/>
                <w:bCs/>
                <w:iCs/>
                <w:sz w:val="22"/>
                <w:szCs w:val="24"/>
                <w:u w:color="000000"/>
              </w:rPr>
            </w:pPr>
            <w:r w:rsidRPr="00EC4F07">
              <w:rPr>
                <w:rFonts w:cstheme="minorHAnsi"/>
                <w:bCs/>
                <w:iCs/>
                <w:sz w:val="22"/>
                <w:szCs w:val="24"/>
                <w:u w:color="000000"/>
              </w:rPr>
              <w:t xml:space="preserve">Άρθρο 2: </w:t>
            </w:r>
            <w:r>
              <w:rPr>
                <w:rFonts w:cstheme="minorHAnsi"/>
                <w:bCs/>
                <w:iCs/>
                <w:sz w:val="22"/>
                <w:szCs w:val="24"/>
                <w:u w:color="000000"/>
              </w:rPr>
              <w:t>αρχή της μη διάκρισης</w:t>
            </w:r>
          </w:p>
          <w:p w:rsidR="00DF4E67" w:rsidRPr="00EC4F07" w:rsidRDefault="00DF4E67" w:rsidP="00631F7B">
            <w:pPr>
              <w:spacing w:line="276" w:lineRule="auto"/>
              <w:jc w:val="both"/>
              <w:rPr>
                <w:rFonts w:cstheme="minorHAnsi"/>
                <w:bCs/>
                <w:iCs/>
                <w:sz w:val="22"/>
                <w:szCs w:val="24"/>
                <w:u w:color="000000"/>
              </w:rPr>
            </w:pPr>
          </w:p>
        </w:tc>
        <w:tc>
          <w:tcPr>
            <w:tcW w:w="1456" w:type="dxa"/>
          </w:tcPr>
          <w:p w:rsidR="00DF4E67" w:rsidRPr="00EC4F07" w:rsidRDefault="00DF4E67" w:rsidP="00631F7B">
            <w:pPr>
              <w:spacing w:line="276" w:lineRule="auto"/>
              <w:jc w:val="both"/>
              <w:rPr>
                <w:b/>
                <w:sz w:val="22"/>
                <w:szCs w:val="24"/>
              </w:rPr>
            </w:pPr>
          </w:p>
        </w:tc>
        <w:tc>
          <w:tcPr>
            <w:tcW w:w="4140" w:type="dxa"/>
          </w:tcPr>
          <w:p w:rsidR="00DF4E67" w:rsidRPr="00EC4F07" w:rsidRDefault="00DF4E67" w:rsidP="00631F7B">
            <w:pPr>
              <w:spacing w:line="276" w:lineRule="auto"/>
              <w:jc w:val="both"/>
              <w:rPr>
                <w:b/>
                <w:sz w:val="22"/>
                <w:szCs w:val="24"/>
              </w:rPr>
            </w:pPr>
          </w:p>
        </w:tc>
      </w:tr>
      <w:tr w:rsidR="00DF4E67" w:rsidRPr="00EC4F07" w:rsidTr="00631F7B">
        <w:tc>
          <w:tcPr>
            <w:tcW w:w="2621" w:type="dxa"/>
          </w:tcPr>
          <w:p w:rsidR="00DF4E67" w:rsidRPr="00EC4F07" w:rsidRDefault="00DF4E67" w:rsidP="00631F7B">
            <w:pPr>
              <w:spacing w:line="276" w:lineRule="auto"/>
              <w:jc w:val="both"/>
              <w:rPr>
                <w:rFonts w:cstheme="minorHAnsi"/>
                <w:bCs/>
                <w:iCs/>
                <w:sz w:val="22"/>
                <w:szCs w:val="24"/>
                <w:u w:color="000000"/>
              </w:rPr>
            </w:pPr>
            <w:r w:rsidRPr="00EC4F07">
              <w:rPr>
                <w:rFonts w:cstheme="minorHAnsi"/>
                <w:bCs/>
                <w:iCs/>
                <w:sz w:val="22"/>
                <w:szCs w:val="24"/>
                <w:u w:color="000000"/>
              </w:rPr>
              <w:t>Άρθρο 12:</w:t>
            </w:r>
            <w:r w:rsidRPr="00EC4F07">
              <w:rPr>
                <w:rFonts w:cstheme="minorHAnsi"/>
                <w:color w:val="000000"/>
                <w:sz w:val="22"/>
                <w:szCs w:val="24"/>
                <w:shd w:val="clear" w:color="auto" w:fill="FFFFFF"/>
              </w:rPr>
              <w:t xml:space="preserve"> </w:t>
            </w:r>
            <w:r>
              <w:rPr>
                <w:rFonts w:cstheme="minorHAnsi"/>
                <w:color w:val="000000"/>
                <w:sz w:val="22"/>
                <w:szCs w:val="24"/>
                <w:shd w:val="clear" w:color="auto" w:fill="FFFFFF"/>
              </w:rPr>
              <w:t>ελευθερία γνώμης</w:t>
            </w:r>
            <w:r w:rsidRPr="00EC4F07">
              <w:rPr>
                <w:rFonts w:cstheme="minorHAnsi"/>
                <w:color w:val="000000"/>
                <w:sz w:val="22"/>
                <w:szCs w:val="24"/>
                <w:shd w:val="clear" w:color="auto" w:fill="FFFFFF"/>
              </w:rPr>
              <w:t xml:space="preserve"> </w:t>
            </w:r>
          </w:p>
        </w:tc>
        <w:tc>
          <w:tcPr>
            <w:tcW w:w="1456" w:type="dxa"/>
          </w:tcPr>
          <w:p w:rsidR="00DF4E67" w:rsidRPr="00EC4F07" w:rsidRDefault="00DF4E67" w:rsidP="00631F7B">
            <w:pPr>
              <w:spacing w:line="276" w:lineRule="auto"/>
              <w:jc w:val="both"/>
              <w:rPr>
                <w:b/>
                <w:sz w:val="22"/>
                <w:szCs w:val="24"/>
              </w:rPr>
            </w:pPr>
          </w:p>
        </w:tc>
        <w:tc>
          <w:tcPr>
            <w:tcW w:w="4140" w:type="dxa"/>
          </w:tcPr>
          <w:p w:rsidR="00DF4E67" w:rsidRPr="00EC4F07" w:rsidRDefault="00DF4E67" w:rsidP="00631F7B">
            <w:pPr>
              <w:spacing w:line="276" w:lineRule="auto"/>
              <w:jc w:val="both"/>
              <w:rPr>
                <w:b/>
                <w:sz w:val="22"/>
                <w:szCs w:val="24"/>
              </w:rPr>
            </w:pPr>
          </w:p>
        </w:tc>
      </w:tr>
      <w:tr w:rsidR="00DF4E67" w:rsidRPr="00EC4F07" w:rsidTr="00631F7B">
        <w:tc>
          <w:tcPr>
            <w:tcW w:w="2621" w:type="dxa"/>
          </w:tcPr>
          <w:p w:rsidR="00DF4E67" w:rsidRPr="00EC4F07" w:rsidRDefault="00DF4E67" w:rsidP="00631F7B">
            <w:pPr>
              <w:spacing w:line="276" w:lineRule="auto"/>
              <w:jc w:val="both"/>
              <w:rPr>
                <w:rFonts w:cstheme="minorHAnsi"/>
                <w:bCs/>
                <w:iCs/>
                <w:sz w:val="22"/>
                <w:szCs w:val="24"/>
                <w:u w:color="000000"/>
              </w:rPr>
            </w:pPr>
            <w:r>
              <w:rPr>
                <w:rFonts w:cstheme="minorHAnsi"/>
                <w:bCs/>
                <w:iCs/>
                <w:sz w:val="22"/>
                <w:szCs w:val="24"/>
                <w:u w:color="000000"/>
              </w:rPr>
              <w:t>Άρθρο 13: ελευθερία έκφρασης</w:t>
            </w:r>
            <w:r w:rsidRPr="00EC4F07">
              <w:rPr>
                <w:rFonts w:cstheme="minorHAnsi"/>
                <w:bCs/>
                <w:iCs/>
                <w:sz w:val="22"/>
                <w:szCs w:val="24"/>
                <w:u w:color="000000"/>
              </w:rPr>
              <w:t xml:space="preserve"> </w:t>
            </w:r>
          </w:p>
        </w:tc>
        <w:tc>
          <w:tcPr>
            <w:tcW w:w="1456" w:type="dxa"/>
          </w:tcPr>
          <w:p w:rsidR="00DF4E67" w:rsidRPr="00EC4F07" w:rsidRDefault="00DF4E67" w:rsidP="00631F7B">
            <w:pPr>
              <w:spacing w:line="276" w:lineRule="auto"/>
              <w:jc w:val="both"/>
              <w:rPr>
                <w:sz w:val="22"/>
                <w:szCs w:val="24"/>
              </w:rPr>
            </w:pPr>
            <w:r w:rsidRPr="00EC4F07">
              <w:rPr>
                <w:sz w:val="22"/>
                <w:szCs w:val="24"/>
              </w:rPr>
              <w:t xml:space="preserve">ΝΑΙ </w:t>
            </w:r>
          </w:p>
        </w:tc>
        <w:tc>
          <w:tcPr>
            <w:tcW w:w="4140" w:type="dxa"/>
          </w:tcPr>
          <w:p w:rsidR="00DF4E67" w:rsidRPr="00EC4F07" w:rsidRDefault="00DF4E67" w:rsidP="00631F7B">
            <w:pPr>
              <w:spacing w:line="276" w:lineRule="auto"/>
              <w:jc w:val="both"/>
              <w:rPr>
                <w:rFonts w:cstheme="minorHAnsi"/>
                <w:sz w:val="22"/>
                <w:szCs w:val="24"/>
              </w:rPr>
            </w:pPr>
            <w:r w:rsidRPr="00EC4F07">
              <w:rPr>
                <w:rFonts w:cstheme="minorHAnsi"/>
                <w:sz w:val="22"/>
                <w:szCs w:val="24"/>
              </w:rPr>
              <w:t xml:space="preserve">Να προσθέσουμε κάποιο άρθρο ότι δεν επιτρέπεται να διακινούμε προσβλητικά μηνύματα για συμμαθητές/τριες μας στα κινητά. </w:t>
            </w:r>
          </w:p>
        </w:tc>
      </w:tr>
      <w:tr w:rsidR="00DF4E67" w:rsidRPr="00EC4F07" w:rsidTr="00631F7B">
        <w:tc>
          <w:tcPr>
            <w:tcW w:w="2621" w:type="dxa"/>
          </w:tcPr>
          <w:p w:rsidR="00DF4E67" w:rsidRPr="00EC4F07" w:rsidRDefault="00DF4E67" w:rsidP="00631F7B">
            <w:pPr>
              <w:spacing w:line="276" w:lineRule="auto"/>
              <w:jc w:val="both"/>
              <w:rPr>
                <w:rFonts w:cstheme="minorHAnsi"/>
                <w:bCs/>
                <w:iCs/>
                <w:sz w:val="22"/>
                <w:szCs w:val="24"/>
                <w:u w:color="000000"/>
              </w:rPr>
            </w:pPr>
            <w:r w:rsidRPr="00EC4F07">
              <w:rPr>
                <w:rFonts w:cstheme="minorHAnsi"/>
                <w:bCs/>
                <w:iCs/>
                <w:sz w:val="22"/>
                <w:szCs w:val="24"/>
                <w:u w:color="000000"/>
              </w:rPr>
              <w:t>Άρ</w:t>
            </w:r>
            <w:r>
              <w:rPr>
                <w:rFonts w:cstheme="minorHAnsi"/>
                <w:bCs/>
                <w:iCs/>
                <w:sz w:val="22"/>
                <w:szCs w:val="24"/>
                <w:u w:color="000000"/>
              </w:rPr>
              <w:t>θρο 15: ελευθερία του συνέρχεσθαι</w:t>
            </w:r>
            <w:r w:rsidRPr="00EC4F07">
              <w:rPr>
                <w:rFonts w:cstheme="minorHAnsi"/>
                <w:bCs/>
                <w:iCs/>
                <w:sz w:val="22"/>
                <w:szCs w:val="24"/>
                <w:u w:color="000000"/>
              </w:rPr>
              <w:t xml:space="preserve"> ειρηνικά</w:t>
            </w:r>
          </w:p>
        </w:tc>
        <w:tc>
          <w:tcPr>
            <w:tcW w:w="1456" w:type="dxa"/>
          </w:tcPr>
          <w:p w:rsidR="00DF4E67" w:rsidRPr="00EC4F07" w:rsidRDefault="00DF4E67" w:rsidP="00631F7B">
            <w:pPr>
              <w:spacing w:line="276" w:lineRule="auto"/>
              <w:jc w:val="both"/>
              <w:rPr>
                <w:b/>
                <w:sz w:val="22"/>
                <w:szCs w:val="24"/>
              </w:rPr>
            </w:pPr>
          </w:p>
        </w:tc>
        <w:tc>
          <w:tcPr>
            <w:tcW w:w="4140" w:type="dxa"/>
          </w:tcPr>
          <w:p w:rsidR="00DF4E67" w:rsidRPr="00EC4F07" w:rsidRDefault="00DF4E67" w:rsidP="00631F7B">
            <w:pPr>
              <w:spacing w:line="276" w:lineRule="auto"/>
              <w:jc w:val="both"/>
              <w:rPr>
                <w:b/>
                <w:sz w:val="22"/>
                <w:szCs w:val="24"/>
              </w:rPr>
            </w:pPr>
          </w:p>
        </w:tc>
      </w:tr>
      <w:tr w:rsidR="00DF4E67" w:rsidRPr="00EC4F07" w:rsidTr="00631F7B">
        <w:tc>
          <w:tcPr>
            <w:tcW w:w="2621" w:type="dxa"/>
          </w:tcPr>
          <w:p w:rsidR="00DF4E67" w:rsidRPr="00EC4F07" w:rsidRDefault="00DF4E67" w:rsidP="00631F7B">
            <w:pPr>
              <w:spacing w:line="276" w:lineRule="auto"/>
              <w:jc w:val="both"/>
              <w:rPr>
                <w:rFonts w:cstheme="minorHAnsi"/>
                <w:bCs/>
                <w:iCs/>
                <w:sz w:val="22"/>
                <w:szCs w:val="24"/>
                <w:u w:color="000000"/>
              </w:rPr>
            </w:pPr>
            <w:r w:rsidRPr="00EC4F07">
              <w:rPr>
                <w:rFonts w:cstheme="minorHAnsi"/>
                <w:bCs/>
                <w:iCs/>
                <w:sz w:val="22"/>
                <w:szCs w:val="24"/>
                <w:u w:color="000000"/>
              </w:rPr>
              <w:t>Άρθρο 17: πρόσβαση σε ενημέρωση και υλικό</w:t>
            </w:r>
          </w:p>
        </w:tc>
        <w:tc>
          <w:tcPr>
            <w:tcW w:w="1456" w:type="dxa"/>
          </w:tcPr>
          <w:p w:rsidR="00DF4E67" w:rsidRPr="00EC4F07" w:rsidRDefault="00DF4E67" w:rsidP="00631F7B">
            <w:pPr>
              <w:spacing w:line="276" w:lineRule="auto"/>
              <w:jc w:val="both"/>
              <w:rPr>
                <w:b/>
                <w:sz w:val="22"/>
                <w:szCs w:val="24"/>
              </w:rPr>
            </w:pPr>
          </w:p>
        </w:tc>
        <w:tc>
          <w:tcPr>
            <w:tcW w:w="4140" w:type="dxa"/>
          </w:tcPr>
          <w:p w:rsidR="00DF4E67" w:rsidRPr="00EC4F07" w:rsidRDefault="00DF4E67" w:rsidP="00631F7B">
            <w:pPr>
              <w:spacing w:line="276" w:lineRule="auto"/>
              <w:jc w:val="both"/>
              <w:rPr>
                <w:b/>
                <w:sz w:val="22"/>
                <w:szCs w:val="24"/>
              </w:rPr>
            </w:pPr>
          </w:p>
        </w:tc>
      </w:tr>
      <w:tr w:rsidR="00DF4E67" w:rsidRPr="00EC4F07" w:rsidTr="00631F7B">
        <w:tc>
          <w:tcPr>
            <w:tcW w:w="2621" w:type="dxa"/>
          </w:tcPr>
          <w:p w:rsidR="00DF4E67" w:rsidRPr="00EC4F07" w:rsidRDefault="00DF4E67" w:rsidP="00631F7B">
            <w:pPr>
              <w:spacing w:line="276" w:lineRule="auto"/>
              <w:jc w:val="both"/>
              <w:rPr>
                <w:rFonts w:cstheme="minorHAnsi"/>
                <w:bCs/>
                <w:iCs/>
                <w:sz w:val="22"/>
                <w:szCs w:val="24"/>
                <w:u w:color="000000"/>
              </w:rPr>
            </w:pPr>
            <w:r w:rsidRPr="00EC4F07">
              <w:rPr>
                <w:rFonts w:cstheme="minorHAnsi"/>
                <w:bCs/>
                <w:iCs/>
                <w:sz w:val="22"/>
                <w:szCs w:val="24"/>
                <w:u w:color="000000"/>
              </w:rPr>
              <w:t>Άρθρο 19: προστασία από βιαιοπραγία</w:t>
            </w:r>
          </w:p>
        </w:tc>
        <w:tc>
          <w:tcPr>
            <w:tcW w:w="1456" w:type="dxa"/>
          </w:tcPr>
          <w:p w:rsidR="00DF4E67" w:rsidRPr="00EC4F07" w:rsidRDefault="00DF4E67" w:rsidP="00631F7B">
            <w:pPr>
              <w:spacing w:line="276" w:lineRule="auto"/>
              <w:jc w:val="both"/>
              <w:rPr>
                <w:b/>
                <w:sz w:val="22"/>
                <w:szCs w:val="24"/>
              </w:rPr>
            </w:pPr>
          </w:p>
        </w:tc>
        <w:tc>
          <w:tcPr>
            <w:tcW w:w="4140" w:type="dxa"/>
          </w:tcPr>
          <w:p w:rsidR="00DF4E67" w:rsidRPr="00EC4F07" w:rsidRDefault="00DF4E67" w:rsidP="00631F7B">
            <w:pPr>
              <w:spacing w:line="276" w:lineRule="auto"/>
              <w:jc w:val="both"/>
              <w:rPr>
                <w:b/>
                <w:sz w:val="22"/>
                <w:szCs w:val="24"/>
              </w:rPr>
            </w:pPr>
          </w:p>
        </w:tc>
      </w:tr>
      <w:tr w:rsidR="00DF4E67" w:rsidRPr="00EC4F07" w:rsidTr="00631F7B">
        <w:tc>
          <w:tcPr>
            <w:tcW w:w="2621" w:type="dxa"/>
          </w:tcPr>
          <w:p w:rsidR="00DF4E67" w:rsidRPr="00EC4F07" w:rsidRDefault="00DF4E67" w:rsidP="00631F7B">
            <w:pPr>
              <w:spacing w:line="276" w:lineRule="auto"/>
              <w:jc w:val="both"/>
              <w:rPr>
                <w:rFonts w:cstheme="minorHAnsi"/>
                <w:bCs/>
                <w:iCs/>
                <w:sz w:val="22"/>
                <w:szCs w:val="24"/>
                <w:u w:color="000000"/>
              </w:rPr>
            </w:pPr>
            <w:r w:rsidRPr="00EC4F07">
              <w:rPr>
                <w:rFonts w:cstheme="minorHAnsi"/>
                <w:bCs/>
                <w:iCs/>
                <w:sz w:val="22"/>
                <w:szCs w:val="24"/>
                <w:u w:color="000000"/>
              </w:rPr>
              <w:t>Άρθρ</w:t>
            </w:r>
            <w:r>
              <w:rPr>
                <w:rFonts w:cstheme="minorHAnsi"/>
                <w:bCs/>
                <w:iCs/>
                <w:sz w:val="22"/>
                <w:szCs w:val="24"/>
                <w:u w:color="000000"/>
              </w:rPr>
              <w:t>ο 22: προστασία  παιδιών - προσφύγων</w:t>
            </w:r>
          </w:p>
        </w:tc>
        <w:tc>
          <w:tcPr>
            <w:tcW w:w="1456" w:type="dxa"/>
          </w:tcPr>
          <w:p w:rsidR="00DF4E67" w:rsidRPr="00EC4F07" w:rsidRDefault="00DF4E67" w:rsidP="00631F7B">
            <w:pPr>
              <w:spacing w:line="276" w:lineRule="auto"/>
              <w:jc w:val="both"/>
              <w:rPr>
                <w:sz w:val="22"/>
                <w:szCs w:val="24"/>
              </w:rPr>
            </w:pPr>
            <w:r w:rsidRPr="00EC4F07">
              <w:rPr>
                <w:sz w:val="22"/>
                <w:szCs w:val="24"/>
              </w:rPr>
              <w:t>ΝΑΙ</w:t>
            </w:r>
          </w:p>
        </w:tc>
        <w:tc>
          <w:tcPr>
            <w:tcW w:w="4140" w:type="dxa"/>
          </w:tcPr>
          <w:p w:rsidR="00DF4E67" w:rsidRPr="00EC4F07" w:rsidRDefault="00DF4E67" w:rsidP="00631F7B">
            <w:pPr>
              <w:spacing w:line="276" w:lineRule="auto"/>
              <w:jc w:val="both"/>
              <w:rPr>
                <w:b/>
                <w:sz w:val="22"/>
                <w:szCs w:val="24"/>
              </w:rPr>
            </w:pPr>
            <w:r w:rsidRPr="00EC4F07">
              <w:rPr>
                <w:rFonts w:cstheme="minorHAnsi"/>
                <w:bCs/>
                <w:iCs/>
                <w:sz w:val="22"/>
                <w:szCs w:val="24"/>
                <w:u w:color="000000"/>
              </w:rPr>
              <w:t xml:space="preserve">Η Χάρτα είναι κατανοητή από τους/τις συμμαθητές/τριες μας πρόσφυγες; Γιατί δε γράφουμε κάποια άρθρα στα Αγγλικά ή τα </w:t>
            </w:r>
            <w:r w:rsidRPr="00EC4F07">
              <w:rPr>
                <w:rFonts w:cstheme="minorHAnsi"/>
                <w:bCs/>
                <w:iCs/>
                <w:sz w:val="22"/>
                <w:szCs w:val="24"/>
                <w:u w:color="000000"/>
              </w:rPr>
              <w:lastRenderedPageBreak/>
              <w:t xml:space="preserve">Γερμανικά ή στη Γλώσσα των συμμαθητών/τριών μας προσφύγων; </w:t>
            </w:r>
          </w:p>
        </w:tc>
      </w:tr>
      <w:tr w:rsidR="00DF4E67" w:rsidRPr="00EC4F07" w:rsidTr="00631F7B">
        <w:tc>
          <w:tcPr>
            <w:tcW w:w="2621" w:type="dxa"/>
          </w:tcPr>
          <w:p w:rsidR="00DF4E67" w:rsidRPr="00EC4F07" w:rsidRDefault="00DF4E67" w:rsidP="00631F7B">
            <w:pPr>
              <w:spacing w:line="276" w:lineRule="auto"/>
              <w:jc w:val="both"/>
              <w:rPr>
                <w:rFonts w:cstheme="minorHAnsi"/>
                <w:bCs/>
                <w:iCs/>
                <w:sz w:val="22"/>
                <w:szCs w:val="24"/>
                <w:u w:color="000000"/>
              </w:rPr>
            </w:pPr>
            <w:r w:rsidRPr="00EC4F07">
              <w:rPr>
                <w:rFonts w:cstheme="minorHAnsi"/>
                <w:bCs/>
                <w:iCs/>
                <w:sz w:val="22"/>
                <w:szCs w:val="24"/>
                <w:u w:color="000000"/>
              </w:rPr>
              <w:lastRenderedPageBreak/>
              <w:t xml:space="preserve">Άρθρο 23: προστασία </w:t>
            </w:r>
            <w:r>
              <w:rPr>
                <w:rFonts w:cstheme="minorHAnsi"/>
                <w:bCs/>
                <w:iCs/>
                <w:sz w:val="22"/>
                <w:szCs w:val="24"/>
                <w:u w:color="000000"/>
              </w:rPr>
              <w:t>παιδιών με αναπηρία</w:t>
            </w:r>
          </w:p>
        </w:tc>
        <w:tc>
          <w:tcPr>
            <w:tcW w:w="1456" w:type="dxa"/>
          </w:tcPr>
          <w:p w:rsidR="00DF4E67" w:rsidRPr="00EC4F07" w:rsidRDefault="00DF4E67" w:rsidP="00631F7B">
            <w:pPr>
              <w:spacing w:line="276" w:lineRule="auto"/>
              <w:jc w:val="both"/>
              <w:rPr>
                <w:sz w:val="22"/>
                <w:szCs w:val="24"/>
              </w:rPr>
            </w:pPr>
            <w:r w:rsidRPr="00EC4F07">
              <w:rPr>
                <w:sz w:val="22"/>
                <w:szCs w:val="24"/>
              </w:rPr>
              <w:t xml:space="preserve">ΝΑΙ </w:t>
            </w:r>
          </w:p>
        </w:tc>
        <w:tc>
          <w:tcPr>
            <w:tcW w:w="4140" w:type="dxa"/>
          </w:tcPr>
          <w:p w:rsidR="00DF4E67" w:rsidRPr="00EC4F07" w:rsidRDefault="00DF4E67" w:rsidP="00631F7B">
            <w:pPr>
              <w:spacing w:line="276" w:lineRule="auto"/>
              <w:rPr>
                <w:rFonts w:cstheme="minorHAnsi"/>
                <w:sz w:val="22"/>
                <w:szCs w:val="24"/>
              </w:rPr>
            </w:pPr>
            <w:r w:rsidRPr="00EC4F07">
              <w:rPr>
                <w:rFonts w:cstheme="minorHAnsi"/>
                <w:sz w:val="22"/>
                <w:szCs w:val="24"/>
              </w:rPr>
              <w:t xml:space="preserve">Να προστεθούν και εικόνες από εικονογράφηση των δικαιωμάτων του παιδιού, ώστε να γίνεται η Χάρτα κατανοητή και από μαθητές/τριες  με αισθητηριακή αναπηρία ή να γίνει η </w:t>
            </w:r>
            <w:hyperlink r:id="rId7" w:history="1">
              <w:r w:rsidRPr="00861488">
                <w:rPr>
                  <w:rStyle w:val="-"/>
                  <w:rFonts w:cstheme="minorHAnsi"/>
                  <w:sz w:val="22"/>
                  <w:szCs w:val="24"/>
                </w:rPr>
                <w:t>αφίσα</w:t>
              </w:r>
            </w:hyperlink>
            <w:r w:rsidRPr="00EC4F07">
              <w:rPr>
                <w:rFonts w:cstheme="minorHAnsi"/>
                <w:sz w:val="22"/>
                <w:szCs w:val="24"/>
              </w:rPr>
              <w:t xml:space="preserve"> διαδραστική με τη προσθήκη ηχητικών αρχείων για μαθητές/τριες  με προβλήματα ακοής; </w:t>
            </w:r>
          </w:p>
        </w:tc>
      </w:tr>
      <w:tr w:rsidR="00DF4E67" w:rsidRPr="00EC4F07" w:rsidTr="00631F7B">
        <w:tc>
          <w:tcPr>
            <w:tcW w:w="2621" w:type="dxa"/>
          </w:tcPr>
          <w:p w:rsidR="00DF4E67" w:rsidRPr="00EC4F07" w:rsidRDefault="00DF4E67" w:rsidP="00631F7B">
            <w:pPr>
              <w:spacing w:line="276" w:lineRule="auto"/>
              <w:jc w:val="both"/>
              <w:rPr>
                <w:rFonts w:cstheme="minorHAnsi"/>
                <w:bCs/>
                <w:iCs/>
                <w:sz w:val="22"/>
                <w:szCs w:val="24"/>
                <w:u w:color="000000"/>
              </w:rPr>
            </w:pPr>
            <w:r w:rsidRPr="00EC4F07">
              <w:rPr>
                <w:rFonts w:cstheme="minorHAnsi"/>
                <w:bCs/>
                <w:iCs/>
                <w:sz w:val="22"/>
                <w:szCs w:val="24"/>
                <w:u w:color="000000"/>
              </w:rPr>
              <w:t>Άρθρο 28: δικαίωμα στην εκπαίδευση</w:t>
            </w:r>
          </w:p>
        </w:tc>
        <w:tc>
          <w:tcPr>
            <w:tcW w:w="1456" w:type="dxa"/>
          </w:tcPr>
          <w:p w:rsidR="00DF4E67" w:rsidRPr="00EC4F07" w:rsidRDefault="00DF4E67" w:rsidP="00631F7B">
            <w:pPr>
              <w:spacing w:line="276" w:lineRule="auto"/>
              <w:jc w:val="both"/>
              <w:rPr>
                <w:b/>
                <w:sz w:val="22"/>
                <w:szCs w:val="24"/>
              </w:rPr>
            </w:pPr>
          </w:p>
        </w:tc>
        <w:tc>
          <w:tcPr>
            <w:tcW w:w="4140" w:type="dxa"/>
          </w:tcPr>
          <w:p w:rsidR="00DF4E67" w:rsidRPr="00EC4F07" w:rsidRDefault="00DF4E67" w:rsidP="00631F7B">
            <w:pPr>
              <w:spacing w:line="276" w:lineRule="auto"/>
              <w:jc w:val="both"/>
              <w:rPr>
                <w:b/>
                <w:sz w:val="22"/>
                <w:szCs w:val="24"/>
              </w:rPr>
            </w:pPr>
          </w:p>
        </w:tc>
      </w:tr>
      <w:tr w:rsidR="00DF4E67" w:rsidRPr="00EC4F07" w:rsidTr="00631F7B">
        <w:tc>
          <w:tcPr>
            <w:tcW w:w="2621" w:type="dxa"/>
          </w:tcPr>
          <w:p w:rsidR="00DF4E67" w:rsidRPr="00EC4F07" w:rsidRDefault="00DF4E67" w:rsidP="00631F7B">
            <w:pPr>
              <w:spacing w:line="276" w:lineRule="auto"/>
              <w:jc w:val="both"/>
              <w:rPr>
                <w:rFonts w:cstheme="minorHAnsi"/>
                <w:bCs/>
                <w:iCs/>
                <w:sz w:val="22"/>
                <w:szCs w:val="24"/>
                <w:u w:color="000000"/>
              </w:rPr>
            </w:pPr>
            <w:r w:rsidRPr="00EC4F07">
              <w:rPr>
                <w:rFonts w:cstheme="minorHAnsi"/>
                <w:bCs/>
                <w:iCs/>
                <w:sz w:val="22"/>
                <w:szCs w:val="24"/>
                <w:u w:color="000000"/>
              </w:rPr>
              <w:t xml:space="preserve">Άρθρο 30: </w:t>
            </w:r>
            <w:r>
              <w:rPr>
                <w:rFonts w:cstheme="minorHAnsi"/>
                <w:bCs/>
                <w:iCs/>
                <w:sz w:val="22"/>
                <w:szCs w:val="24"/>
                <w:u w:color="000000"/>
              </w:rPr>
              <w:t xml:space="preserve"> σεβασμός στο πολιτισμικό υπόβαθρο των παιδιών</w:t>
            </w:r>
          </w:p>
        </w:tc>
        <w:tc>
          <w:tcPr>
            <w:tcW w:w="1456" w:type="dxa"/>
          </w:tcPr>
          <w:p w:rsidR="00DF4E67" w:rsidRPr="00EC4F07" w:rsidRDefault="00DF4E67" w:rsidP="00631F7B">
            <w:pPr>
              <w:spacing w:line="276" w:lineRule="auto"/>
              <w:jc w:val="both"/>
              <w:rPr>
                <w:b/>
                <w:sz w:val="22"/>
                <w:szCs w:val="24"/>
              </w:rPr>
            </w:pPr>
          </w:p>
        </w:tc>
        <w:tc>
          <w:tcPr>
            <w:tcW w:w="4140" w:type="dxa"/>
          </w:tcPr>
          <w:p w:rsidR="00DF4E67" w:rsidRPr="00EC4F07" w:rsidRDefault="00DF4E67" w:rsidP="00631F7B">
            <w:pPr>
              <w:spacing w:line="276" w:lineRule="auto"/>
              <w:jc w:val="both"/>
              <w:rPr>
                <w:b/>
                <w:sz w:val="22"/>
                <w:szCs w:val="24"/>
              </w:rPr>
            </w:pPr>
          </w:p>
        </w:tc>
      </w:tr>
      <w:tr w:rsidR="00DF4E67" w:rsidRPr="00EC4F07" w:rsidTr="00631F7B">
        <w:tc>
          <w:tcPr>
            <w:tcW w:w="2621" w:type="dxa"/>
          </w:tcPr>
          <w:p w:rsidR="00DF4E67" w:rsidRPr="00EC4F07" w:rsidRDefault="00DF4E67" w:rsidP="00631F7B">
            <w:pPr>
              <w:spacing w:line="276" w:lineRule="auto"/>
              <w:jc w:val="both"/>
              <w:rPr>
                <w:rFonts w:cstheme="minorHAnsi"/>
                <w:bCs/>
                <w:iCs/>
                <w:sz w:val="22"/>
                <w:szCs w:val="24"/>
                <w:u w:color="000000"/>
              </w:rPr>
            </w:pPr>
            <w:r>
              <w:rPr>
                <w:rFonts w:cstheme="minorHAnsi"/>
                <w:bCs/>
                <w:iCs/>
                <w:sz w:val="22"/>
                <w:szCs w:val="24"/>
                <w:u w:color="000000"/>
              </w:rPr>
              <w:t>Άρθρο 31: δικαίωμα σε δραστηριότητες</w:t>
            </w:r>
            <w:r w:rsidRPr="00EC4F07">
              <w:rPr>
                <w:rFonts w:cstheme="minorHAnsi"/>
                <w:bCs/>
                <w:iCs/>
                <w:sz w:val="22"/>
                <w:szCs w:val="24"/>
                <w:u w:color="000000"/>
              </w:rPr>
              <w:t xml:space="preserve"> ανάπαυσης, ελεύθερου χρόνου κα ψυχαγωγίας</w:t>
            </w:r>
          </w:p>
        </w:tc>
        <w:tc>
          <w:tcPr>
            <w:tcW w:w="1456" w:type="dxa"/>
          </w:tcPr>
          <w:p w:rsidR="00DF4E67" w:rsidRPr="00EC4F07" w:rsidRDefault="00DF4E67" w:rsidP="00631F7B">
            <w:pPr>
              <w:spacing w:line="276" w:lineRule="auto"/>
              <w:jc w:val="both"/>
              <w:rPr>
                <w:b/>
                <w:sz w:val="22"/>
                <w:szCs w:val="24"/>
              </w:rPr>
            </w:pPr>
          </w:p>
        </w:tc>
        <w:tc>
          <w:tcPr>
            <w:tcW w:w="4140" w:type="dxa"/>
          </w:tcPr>
          <w:p w:rsidR="00DF4E67" w:rsidRPr="00EC4F07" w:rsidRDefault="00DF4E67" w:rsidP="00631F7B">
            <w:pPr>
              <w:spacing w:line="276" w:lineRule="auto"/>
              <w:jc w:val="both"/>
              <w:rPr>
                <w:b/>
                <w:sz w:val="22"/>
                <w:szCs w:val="24"/>
              </w:rPr>
            </w:pPr>
          </w:p>
        </w:tc>
      </w:tr>
    </w:tbl>
    <w:p w:rsidR="00DF4E67" w:rsidRDefault="00DF4E67" w:rsidP="006F5C52">
      <w:pPr>
        <w:pBdr>
          <w:top w:val="nil"/>
          <w:left w:val="nil"/>
          <w:bottom w:val="nil"/>
          <w:right w:val="nil"/>
          <w:between w:val="nil"/>
          <w:bar w:val="nil"/>
        </w:pBdr>
        <w:spacing w:line="276" w:lineRule="auto"/>
        <w:jc w:val="both"/>
        <w:rPr>
          <w:rFonts w:eastAsia="Times New Roman" w:cstheme="minorHAnsi"/>
          <w:bCs/>
          <w:iCs/>
          <w:szCs w:val="24"/>
          <w:u w:color="000000"/>
        </w:rPr>
      </w:pPr>
    </w:p>
    <w:p w:rsidR="00DF4E67" w:rsidRPr="00EC4F07" w:rsidRDefault="00DF4E67" w:rsidP="006F5C52">
      <w:pPr>
        <w:pBdr>
          <w:top w:val="nil"/>
          <w:left w:val="nil"/>
          <w:bottom w:val="nil"/>
          <w:right w:val="nil"/>
          <w:between w:val="nil"/>
          <w:bar w:val="nil"/>
        </w:pBdr>
        <w:spacing w:line="276" w:lineRule="auto"/>
        <w:jc w:val="both"/>
        <w:rPr>
          <w:rFonts w:eastAsia="Times New Roman" w:cstheme="minorHAnsi"/>
          <w:bCs/>
          <w:iCs/>
          <w:szCs w:val="24"/>
          <w:u w:color="000000"/>
        </w:rPr>
      </w:pPr>
    </w:p>
    <w:p w:rsidR="00DF4E67" w:rsidRDefault="00DF4E67" w:rsidP="00DF4E67">
      <w:pPr>
        <w:spacing w:line="276" w:lineRule="auto"/>
        <w:jc w:val="both"/>
      </w:pPr>
    </w:p>
    <w:p w:rsidR="00DF4E67" w:rsidRDefault="00DF4E67" w:rsidP="00DF4E67">
      <w:pPr>
        <w:spacing w:line="276" w:lineRule="auto"/>
        <w:jc w:val="both"/>
        <w:rPr>
          <w:b/>
        </w:rPr>
      </w:pPr>
      <w:r w:rsidRPr="00DF4E67">
        <w:rPr>
          <w:b/>
        </w:rPr>
        <w:t>6</w:t>
      </w:r>
      <w:r w:rsidRPr="00DF4E67">
        <w:rPr>
          <w:b/>
          <w:vertAlign w:val="superscript"/>
        </w:rPr>
        <w:t>ο</w:t>
      </w:r>
      <w:r w:rsidRPr="00DF4E67">
        <w:rPr>
          <w:b/>
        </w:rPr>
        <w:t xml:space="preserve"> εργαστήριο</w:t>
      </w:r>
    </w:p>
    <w:p w:rsidR="00DF4E67" w:rsidRDefault="00DF4E67" w:rsidP="00DF4E67">
      <w:pPr>
        <w:spacing w:line="276" w:lineRule="auto"/>
        <w:jc w:val="both"/>
        <w:rPr>
          <w:rFonts w:eastAsia="Times New Roman" w:cstheme="minorHAnsi"/>
          <w:bCs/>
          <w:iCs/>
          <w:szCs w:val="24"/>
          <w:u w:color="000000"/>
        </w:rPr>
      </w:pPr>
      <w:r w:rsidRPr="00EC4F07">
        <w:rPr>
          <w:rFonts w:eastAsia="Times New Roman"/>
          <w:b/>
          <w:szCs w:val="24"/>
        </w:rPr>
        <w:t xml:space="preserve"> </w:t>
      </w:r>
      <w:r w:rsidRPr="00EC4F07">
        <w:rPr>
          <w:rFonts w:eastAsia="Times New Roman"/>
          <w:szCs w:val="24"/>
        </w:rPr>
        <w:t xml:space="preserve">Στο μάθημα της Νεοελληνικής Γλώσσας, της Οικιακής Οικονομίας ή της Πληροφορικής </w:t>
      </w:r>
      <w:r w:rsidRPr="00EC4F07">
        <w:rPr>
          <w:rFonts w:eastAsia="Times New Roman" w:cstheme="minorHAnsi"/>
          <w:bCs/>
          <w:iCs/>
          <w:szCs w:val="24"/>
          <w:u w:color="000000"/>
        </w:rPr>
        <w:t>το κείμενο καθαρογράφεται για να αποσταλεί στον Σύλλογο Διδασκόντων και στον Σύλλογο Γονέων, εταίρους του Σ.Κ.Λ.</w:t>
      </w:r>
    </w:p>
    <w:p w:rsidR="00DF4E67" w:rsidRDefault="00DF4E67" w:rsidP="00DF4E67">
      <w:pPr>
        <w:spacing w:line="276" w:lineRule="auto"/>
        <w:jc w:val="both"/>
        <w:rPr>
          <w:b/>
          <w:szCs w:val="24"/>
        </w:rPr>
      </w:pPr>
    </w:p>
    <w:p w:rsidR="00DF4E67" w:rsidRDefault="00DF4E67" w:rsidP="00DF4E67">
      <w:pPr>
        <w:spacing w:line="276" w:lineRule="auto"/>
        <w:jc w:val="both"/>
        <w:rPr>
          <w:b/>
          <w:szCs w:val="24"/>
        </w:rPr>
      </w:pPr>
      <w:r>
        <w:rPr>
          <w:b/>
          <w:szCs w:val="24"/>
        </w:rPr>
        <w:t>7</w:t>
      </w:r>
      <w:r w:rsidRPr="00DF4E67">
        <w:rPr>
          <w:b/>
          <w:szCs w:val="24"/>
          <w:vertAlign w:val="superscript"/>
        </w:rPr>
        <w:t>ο</w:t>
      </w:r>
      <w:r>
        <w:rPr>
          <w:b/>
          <w:szCs w:val="24"/>
        </w:rPr>
        <w:t xml:space="preserve"> εργαστήριο</w:t>
      </w:r>
    </w:p>
    <w:p w:rsidR="00DF4E67" w:rsidRPr="00EC4F07" w:rsidRDefault="00DF4E67" w:rsidP="00DF4E67">
      <w:pPr>
        <w:spacing w:line="276" w:lineRule="auto"/>
        <w:jc w:val="both"/>
        <w:rPr>
          <w:rFonts w:eastAsia="Times New Roman" w:cstheme="minorHAnsi"/>
          <w:bCs/>
          <w:iCs/>
          <w:szCs w:val="24"/>
          <w:u w:color="000000"/>
        </w:rPr>
      </w:pPr>
      <w:r w:rsidRPr="00EC4F07">
        <w:rPr>
          <w:rFonts w:eastAsia="Times New Roman" w:cstheme="minorHAnsi"/>
          <w:bCs/>
          <w:iCs/>
          <w:szCs w:val="24"/>
          <w:u w:color="000000"/>
        </w:rPr>
        <w:t xml:space="preserve">Οι αποφάσεις γράφονται σε Α4 διαφορετικών χρωμάτων και σχημάτων, δημιουργείται ένα κολλάζ  σε μορφή χρονογραμμής με τις αποφάσεις της κάθε ομάδας  και αναρτάται στον λευκό χαρτόνι στον τοίχο της τάξης. Αποφασίζεται να παρεμβαίνουν όλη τη χρονιά. Εναλλακτικά για τη χρονογραμμή χρησιμοποιείται το ψηφιακό εργαλείο </w:t>
      </w:r>
      <w:hyperlink r:id="rId8" w:history="1">
        <w:proofErr w:type="spellStart"/>
        <w:r w:rsidRPr="00EC4F07">
          <w:rPr>
            <w:rStyle w:val="-"/>
            <w:rFonts w:eastAsia="Times New Roman" w:cstheme="minorHAnsi"/>
            <w:bCs/>
            <w:iCs/>
            <w:szCs w:val="24"/>
          </w:rPr>
          <w:t>Timetoast</w:t>
        </w:r>
        <w:proofErr w:type="spellEnd"/>
      </w:hyperlink>
      <w:r w:rsidRPr="00EC4F07">
        <w:rPr>
          <w:rFonts w:eastAsia="Times New Roman" w:cstheme="minorHAnsi"/>
          <w:bCs/>
          <w:iCs/>
          <w:szCs w:val="24"/>
          <w:u w:color="000000"/>
        </w:rPr>
        <w:t xml:space="preserve"> ή </w:t>
      </w:r>
      <w:hyperlink r:id="rId9" w:history="1">
        <w:proofErr w:type="spellStart"/>
        <w:r w:rsidRPr="00EC4F07">
          <w:rPr>
            <w:rStyle w:val="-"/>
            <w:rFonts w:eastAsia="Times New Roman" w:cstheme="minorHAnsi"/>
            <w:bCs/>
            <w:iCs/>
            <w:szCs w:val="24"/>
          </w:rPr>
          <w:t>TikiToki</w:t>
        </w:r>
        <w:proofErr w:type="spellEnd"/>
      </w:hyperlink>
      <w:r w:rsidRPr="00EC4F07">
        <w:rPr>
          <w:rFonts w:eastAsia="Times New Roman" w:cstheme="minorHAnsi"/>
          <w:bCs/>
          <w:iCs/>
          <w:szCs w:val="24"/>
          <w:u w:color="000000"/>
        </w:rPr>
        <w:t>. Δημιουργούνται πέντε (5) ομάδες που θα παρέμβουν με επιλεγμένες δράσεις από το εργαστήριο . Ενδεικτικά αναφέρονται :</w:t>
      </w:r>
      <w:r>
        <w:rPr>
          <w:rFonts w:eastAsia="Times New Roman" w:cstheme="minorHAnsi"/>
          <w:bCs/>
          <w:iCs/>
          <w:szCs w:val="24"/>
          <w:u w:color="000000"/>
        </w:rPr>
        <w:t xml:space="preserve"> </w:t>
      </w:r>
    </w:p>
    <w:p w:rsidR="00DF4E67" w:rsidRPr="000E7FF5" w:rsidRDefault="00DF4E67" w:rsidP="00DF4E67">
      <w:pPr>
        <w:pStyle w:val="a6"/>
        <w:numPr>
          <w:ilvl w:val="0"/>
          <w:numId w:val="1"/>
        </w:numPr>
        <w:spacing w:line="276" w:lineRule="auto"/>
        <w:jc w:val="both"/>
        <w:rPr>
          <w:rFonts w:eastAsia="Times New Roman" w:cstheme="minorHAnsi"/>
          <w:bCs/>
          <w:iCs/>
          <w:szCs w:val="24"/>
          <w:u w:color="000000"/>
        </w:rPr>
      </w:pPr>
      <w:r>
        <w:rPr>
          <w:rFonts w:eastAsia="Times New Roman" w:cstheme="minorHAnsi"/>
          <w:bCs/>
          <w:iCs/>
          <w:szCs w:val="24"/>
          <w:u w:color="000000"/>
        </w:rPr>
        <w:t>Παγκόσμια Ημέρα Δικαιωμάτων του Παιδιού.</w:t>
      </w:r>
    </w:p>
    <w:p w:rsidR="00DF4E67" w:rsidRPr="000E7FF5" w:rsidRDefault="00DF4E67" w:rsidP="00DF4E67">
      <w:pPr>
        <w:pStyle w:val="a6"/>
        <w:numPr>
          <w:ilvl w:val="0"/>
          <w:numId w:val="1"/>
        </w:numPr>
        <w:spacing w:line="276" w:lineRule="auto"/>
        <w:jc w:val="both"/>
        <w:rPr>
          <w:rFonts w:eastAsia="Times New Roman" w:cstheme="minorHAnsi"/>
          <w:bCs/>
          <w:iCs/>
          <w:szCs w:val="24"/>
          <w:u w:color="000000"/>
        </w:rPr>
      </w:pPr>
      <w:r>
        <w:rPr>
          <w:rFonts w:eastAsia="Times New Roman" w:cstheme="minorHAnsi"/>
          <w:bCs/>
          <w:iCs/>
          <w:szCs w:val="24"/>
          <w:u w:color="000000"/>
        </w:rPr>
        <w:t>Παγκόσμια Η</w:t>
      </w:r>
      <w:r w:rsidRPr="000E7FF5">
        <w:rPr>
          <w:rFonts w:eastAsia="Times New Roman" w:cstheme="minorHAnsi"/>
          <w:bCs/>
          <w:iCs/>
          <w:szCs w:val="24"/>
          <w:u w:color="000000"/>
        </w:rPr>
        <w:t>μέρα</w:t>
      </w:r>
      <w:r>
        <w:rPr>
          <w:rFonts w:eastAsia="Times New Roman" w:cstheme="minorHAnsi"/>
          <w:bCs/>
          <w:iCs/>
          <w:szCs w:val="24"/>
          <w:u w:color="000000"/>
        </w:rPr>
        <w:t xml:space="preserve"> των  Ανθρωπίνων Δικαιωμάτων.</w:t>
      </w:r>
    </w:p>
    <w:p w:rsidR="00DF4E67" w:rsidRDefault="00DF4E67" w:rsidP="00DF4E67">
      <w:pPr>
        <w:pStyle w:val="a6"/>
        <w:numPr>
          <w:ilvl w:val="0"/>
          <w:numId w:val="1"/>
        </w:numPr>
        <w:spacing w:line="276" w:lineRule="auto"/>
        <w:jc w:val="both"/>
        <w:rPr>
          <w:rFonts w:eastAsia="Times New Roman" w:cstheme="minorHAnsi"/>
          <w:bCs/>
          <w:iCs/>
          <w:szCs w:val="24"/>
          <w:u w:color="000000"/>
        </w:rPr>
      </w:pPr>
      <w:r>
        <w:rPr>
          <w:rFonts w:eastAsia="Times New Roman" w:cstheme="minorHAnsi"/>
          <w:bCs/>
          <w:iCs/>
          <w:szCs w:val="24"/>
          <w:u w:color="000000"/>
        </w:rPr>
        <w:t>Παγκόσμια Ημέρα Ατόμων με Αναπηρία.</w:t>
      </w:r>
      <w:r w:rsidRPr="000E7FF5">
        <w:rPr>
          <w:rFonts w:eastAsia="Times New Roman" w:cstheme="minorHAnsi"/>
          <w:bCs/>
          <w:iCs/>
          <w:szCs w:val="24"/>
          <w:u w:color="000000"/>
        </w:rPr>
        <w:t xml:space="preserve"> </w:t>
      </w:r>
    </w:p>
    <w:p w:rsidR="00DF4E67" w:rsidRDefault="00DF4E67" w:rsidP="00DF4E67">
      <w:pPr>
        <w:pStyle w:val="a6"/>
        <w:numPr>
          <w:ilvl w:val="0"/>
          <w:numId w:val="1"/>
        </w:numPr>
        <w:spacing w:line="276" w:lineRule="auto"/>
        <w:jc w:val="both"/>
        <w:rPr>
          <w:rFonts w:eastAsia="Times New Roman" w:cstheme="minorHAnsi"/>
          <w:bCs/>
          <w:iCs/>
          <w:szCs w:val="24"/>
          <w:u w:color="000000"/>
        </w:rPr>
      </w:pPr>
      <w:r w:rsidRPr="00DF4E67">
        <w:rPr>
          <w:rFonts w:eastAsia="Times New Roman" w:cstheme="minorHAnsi"/>
          <w:bCs/>
          <w:iCs/>
          <w:szCs w:val="24"/>
          <w:u w:color="000000"/>
        </w:rPr>
        <w:t>Παγκόσμια Ημέρα Προσφύγων.</w:t>
      </w:r>
    </w:p>
    <w:p w:rsidR="00C43A5B" w:rsidRDefault="00C43A5B" w:rsidP="00C43A5B">
      <w:pPr>
        <w:pStyle w:val="a6"/>
        <w:spacing w:line="276" w:lineRule="auto"/>
        <w:ind w:left="720"/>
        <w:jc w:val="both"/>
        <w:rPr>
          <w:rFonts w:eastAsia="Times New Roman" w:cstheme="minorHAnsi"/>
          <w:bCs/>
          <w:iCs/>
          <w:szCs w:val="24"/>
          <w:u w:color="000000"/>
        </w:rPr>
      </w:pPr>
    </w:p>
    <w:p w:rsidR="00C43A5B" w:rsidRDefault="00C43A5B" w:rsidP="00C43A5B">
      <w:pPr>
        <w:spacing w:line="276" w:lineRule="auto"/>
        <w:jc w:val="both"/>
        <w:rPr>
          <w:rFonts w:eastAsia="Times New Roman" w:cstheme="minorHAnsi"/>
          <w:bCs/>
          <w:iCs/>
          <w:szCs w:val="24"/>
          <w:u w:color="000000"/>
        </w:rPr>
      </w:pPr>
    </w:p>
    <w:p w:rsidR="00C43A5B" w:rsidRPr="00C43A5B" w:rsidRDefault="00C43A5B" w:rsidP="00C43A5B">
      <w:pPr>
        <w:shd w:val="clear" w:color="auto" w:fill="FFFFFF"/>
        <w:spacing w:line="276" w:lineRule="auto"/>
        <w:jc w:val="both"/>
        <w:rPr>
          <w:rFonts w:cstheme="minorHAnsi"/>
          <w:b/>
          <w:szCs w:val="24"/>
          <w:u w:val="single"/>
        </w:rPr>
      </w:pPr>
      <w:r w:rsidRPr="00C43A5B">
        <w:rPr>
          <w:rFonts w:cstheme="minorHAnsi"/>
          <w:b/>
          <w:szCs w:val="24"/>
          <w:u w:val="single"/>
        </w:rPr>
        <w:lastRenderedPageBreak/>
        <w:t>Παρατήρηση</w:t>
      </w:r>
    </w:p>
    <w:p w:rsidR="00C43A5B" w:rsidRPr="00EC4F07" w:rsidRDefault="00C43A5B" w:rsidP="00C43A5B">
      <w:pPr>
        <w:shd w:val="clear" w:color="auto" w:fill="FFFFFF"/>
        <w:spacing w:line="276" w:lineRule="auto"/>
        <w:jc w:val="both"/>
        <w:rPr>
          <w:rFonts w:cstheme="minorHAnsi"/>
          <w:szCs w:val="24"/>
        </w:rPr>
      </w:pPr>
      <w:bookmarkStart w:id="0" w:name="_GoBack"/>
      <w:bookmarkEnd w:id="0"/>
      <w:r w:rsidRPr="00EC4F07">
        <w:rPr>
          <w:rFonts w:cstheme="minorHAnsi"/>
          <w:szCs w:val="24"/>
        </w:rPr>
        <w:t xml:space="preserve">Τα φύλλα εργασίας ο/η εκπαιδευτικός μπορεί να τα αναρτά σε κυψέλη  στο πεδίο </w:t>
      </w:r>
      <w:r w:rsidRPr="00EC4F07">
        <w:rPr>
          <w:rFonts w:cstheme="minorHAnsi"/>
          <w:szCs w:val="24"/>
          <w:lang w:val="en-US"/>
        </w:rPr>
        <w:t>files</w:t>
      </w:r>
      <w:r w:rsidRPr="00EC4F07">
        <w:rPr>
          <w:rFonts w:cstheme="minorHAnsi"/>
          <w:szCs w:val="24"/>
        </w:rPr>
        <w:t xml:space="preserve">,  εφόσον επιθυμεί να αξιοποιήσει και την πλατφόρμα ασύγχρονης τηλεκπαίδευσης </w:t>
      </w:r>
      <w:r w:rsidRPr="00EC4F07">
        <w:rPr>
          <w:rFonts w:cstheme="minorHAnsi"/>
          <w:szCs w:val="24"/>
          <w:lang w:val="en-US"/>
        </w:rPr>
        <w:t>e</w:t>
      </w:r>
      <w:r w:rsidRPr="00EC4F07">
        <w:rPr>
          <w:rFonts w:cstheme="minorHAnsi"/>
          <w:szCs w:val="24"/>
        </w:rPr>
        <w:t>-</w:t>
      </w:r>
      <w:r w:rsidRPr="00EC4F07">
        <w:rPr>
          <w:rFonts w:cstheme="minorHAnsi"/>
          <w:szCs w:val="24"/>
          <w:lang w:val="en-US"/>
        </w:rPr>
        <w:t>me</w:t>
      </w:r>
      <w:r w:rsidRPr="00EC4F07">
        <w:rPr>
          <w:rFonts w:cstheme="minorHAnsi"/>
          <w:szCs w:val="24"/>
        </w:rPr>
        <w:t xml:space="preserve"> ( </w:t>
      </w:r>
      <w:r w:rsidRPr="00EC4F07">
        <w:t xml:space="preserve"> </w:t>
      </w:r>
      <w:hyperlink r:id="rId10" w:history="1">
        <w:r w:rsidRPr="00EC4F07">
          <w:rPr>
            <w:rStyle w:val="-"/>
            <w:rFonts w:cstheme="minorHAnsi"/>
            <w:szCs w:val="24"/>
          </w:rPr>
          <w:t>https://e-me.edu.gr/</w:t>
        </w:r>
      </w:hyperlink>
      <w:r w:rsidRPr="00EC4F07">
        <w:rPr>
          <w:rFonts w:cstheme="minorHAnsi"/>
          <w:szCs w:val="24"/>
        </w:rPr>
        <w:t xml:space="preserve">) για το ενδεχόμενο εξ αποστάσεως διδασκαλίας. Όπως επίσης να προσαρμόσει και την υπόλοιπη διδασκαλία. </w:t>
      </w:r>
      <w:r>
        <w:rPr>
          <w:rFonts w:cstheme="minorHAnsi"/>
          <w:szCs w:val="24"/>
        </w:rPr>
        <w:t>Εναλλακτικά, οι μαθητές/τριες εργάζονται στην τάξη.</w:t>
      </w:r>
    </w:p>
    <w:p w:rsidR="00C43A5B" w:rsidRPr="00C43A5B" w:rsidRDefault="00C43A5B" w:rsidP="00C43A5B">
      <w:pPr>
        <w:spacing w:line="276" w:lineRule="auto"/>
        <w:jc w:val="both"/>
        <w:rPr>
          <w:rFonts w:eastAsia="Times New Roman" w:cstheme="minorHAnsi"/>
          <w:bCs/>
          <w:iCs/>
          <w:szCs w:val="24"/>
          <w:u w:color="000000"/>
        </w:rPr>
      </w:pPr>
    </w:p>
    <w:p w:rsidR="00DF4E67" w:rsidRPr="006F5C52" w:rsidRDefault="00DF4E67" w:rsidP="006F5C52">
      <w:pPr>
        <w:spacing w:line="276" w:lineRule="auto"/>
        <w:jc w:val="both"/>
        <w:rPr>
          <w:rFonts w:eastAsia="Times New Roman" w:cstheme="minorHAnsi"/>
          <w:b/>
          <w:bCs/>
          <w:iCs/>
          <w:szCs w:val="24"/>
          <w:u w:color="000000"/>
        </w:rPr>
      </w:pPr>
    </w:p>
    <w:p w:rsidR="006F5C52" w:rsidRPr="006F5C52" w:rsidRDefault="006F5C52" w:rsidP="006F5C52">
      <w:pPr>
        <w:jc w:val="both"/>
        <w:rPr>
          <w:b/>
        </w:rPr>
      </w:pPr>
    </w:p>
    <w:sectPr w:rsidR="006F5C52" w:rsidRPr="006F5C52">
      <w:headerReference w:type="default" r:id="rId11"/>
      <w:footerReference w:type="defaul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34E" w:rsidRDefault="0021734E" w:rsidP="0021734E">
      <w:pPr>
        <w:spacing w:after="0" w:line="240" w:lineRule="auto"/>
      </w:pPr>
      <w:r>
        <w:separator/>
      </w:r>
    </w:p>
  </w:endnote>
  <w:endnote w:type="continuationSeparator" w:id="0">
    <w:p w:rsidR="0021734E" w:rsidRDefault="0021734E" w:rsidP="002173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34E" w:rsidRDefault="0021734E">
    <w:pPr>
      <w:pStyle w:val="a4"/>
    </w:pPr>
    <w:r w:rsidRPr="007820ED">
      <w:rPr>
        <w:rFonts w:cstheme="minorHAnsi"/>
        <w:noProof/>
        <w:lang w:eastAsia="el-GR"/>
      </w:rPr>
      <w:drawing>
        <wp:anchor distT="0" distB="0" distL="114300" distR="114300" simplePos="0" relativeHeight="251659264" behindDoc="0" locked="0" layoutInCell="1" allowOverlap="1" wp14:anchorId="6EF576E8" wp14:editId="59DF85DC">
          <wp:simplePos x="0" y="0"/>
          <wp:positionH relativeFrom="margin">
            <wp:posOffset>389614</wp:posOffset>
          </wp:positionH>
          <wp:positionV relativeFrom="paragraph">
            <wp:posOffset>-190803</wp:posOffset>
          </wp:positionV>
          <wp:extent cx="4381500" cy="596265"/>
          <wp:effectExtent l="0" t="0" r="0" b="0"/>
          <wp:wrapSquare wrapText="bothSides"/>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34E" w:rsidRDefault="0021734E" w:rsidP="0021734E">
      <w:pPr>
        <w:spacing w:after="0" w:line="240" w:lineRule="auto"/>
      </w:pPr>
      <w:r>
        <w:separator/>
      </w:r>
    </w:p>
  </w:footnote>
  <w:footnote w:type="continuationSeparator" w:id="0">
    <w:p w:rsidR="0021734E" w:rsidRDefault="0021734E" w:rsidP="002173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34E" w:rsidRDefault="0021734E" w:rsidP="0021734E">
    <w:pPr>
      <w:pStyle w:val="a3"/>
      <w:jc w:val="center"/>
    </w:pPr>
    <w:r>
      <w:rPr>
        <w:noProof/>
        <w:lang w:eastAsia="el-GR"/>
      </w:rPr>
      <w:drawing>
        <wp:inline distT="0" distB="0" distL="0" distR="0" wp14:anchorId="1AC4D5E0" wp14:editId="0C4DAEFF">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E1676"/>
    <w:multiLevelType w:val="hybridMultilevel"/>
    <w:tmpl w:val="E9DAFAB0"/>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34E"/>
    <w:rsid w:val="0021734E"/>
    <w:rsid w:val="006F5C52"/>
    <w:rsid w:val="00BC769D"/>
    <w:rsid w:val="00C43A5B"/>
    <w:rsid w:val="00DF4E67"/>
    <w:rsid w:val="00EF348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0EBB2"/>
  <w15:chartTrackingRefBased/>
  <w15:docId w15:val="{8F46A4B3-A966-4B36-A11F-5455261D8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1734E"/>
    <w:pPr>
      <w:tabs>
        <w:tab w:val="center" w:pos="4153"/>
        <w:tab w:val="right" w:pos="8306"/>
      </w:tabs>
      <w:spacing w:after="0" w:line="240" w:lineRule="auto"/>
    </w:pPr>
  </w:style>
  <w:style w:type="character" w:customStyle="1" w:styleId="Char">
    <w:name w:val="Κεφαλίδα Char"/>
    <w:basedOn w:val="a0"/>
    <w:link w:val="a3"/>
    <w:uiPriority w:val="99"/>
    <w:rsid w:val="0021734E"/>
  </w:style>
  <w:style w:type="paragraph" w:styleId="a4">
    <w:name w:val="footer"/>
    <w:basedOn w:val="a"/>
    <w:link w:val="Char0"/>
    <w:uiPriority w:val="99"/>
    <w:unhideWhenUsed/>
    <w:rsid w:val="0021734E"/>
    <w:pPr>
      <w:tabs>
        <w:tab w:val="center" w:pos="4153"/>
        <w:tab w:val="right" w:pos="8306"/>
      </w:tabs>
      <w:spacing w:after="0" w:line="240" w:lineRule="auto"/>
    </w:pPr>
  </w:style>
  <w:style w:type="character" w:customStyle="1" w:styleId="Char0">
    <w:name w:val="Υποσέλιδο Char"/>
    <w:basedOn w:val="a0"/>
    <w:link w:val="a4"/>
    <w:uiPriority w:val="99"/>
    <w:rsid w:val="0021734E"/>
  </w:style>
  <w:style w:type="table" w:styleId="a5">
    <w:name w:val="Table Grid"/>
    <w:basedOn w:val="a1"/>
    <w:uiPriority w:val="59"/>
    <w:rsid w:val="00DF4E67"/>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DF4E67"/>
    <w:rPr>
      <w:color w:val="0563C1" w:themeColor="hyperlink"/>
      <w:u w:val="single"/>
    </w:rPr>
  </w:style>
  <w:style w:type="paragraph" w:styleId="a6">
    <w:name w:val="List Paragraph"/>
    <w:basedOn w:val="a"/>
    <w:uiPriority w:val="34"/>
    <w:qFormat/>
    <w:rsid w:val="00DF4E67"/>
    <w:pPr>
      <w:widowControl w:val="0"/>
      <w:autoSpaceDE w:val="0"/>
      <w:autoSpaceDN w:val="0"/>
      <w:spacing w:before="52" w:after="0" w:line="240" w:lineRule="auto"/>
      <w:ind w:left="1680"/>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imetoas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20https:/www.canva.com/el_g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me.edu.gr/" TargetMode="External"/><Relationship Id="rId4" Type="http://schemas.openxmlformats.org/officeDocument/2006/relationships/webSettings" Target="webSettings.xml"/><Relationship Id="rId9" Type="http://schemas.openxmlformats.org/officeDocument/2006/relationships/hyperlink" Target="https://www.tiki-toki.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578</Words>
  <Characters>3122</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Αποστόλου Σοφία</dc:creator>
  <cp:keywords/>
  <dc:description/>
  <cp:lastModifiedBy>Αποστόλου Σοφία</cp:lastModifiedBy>
  <cp:revision>3</cp:revision>
  <dcterms:created xsi:type="dcterms:W3CDTF">2024-08-05T08:15:00Z</dcterms:created>
  <dcterms:modified xsi:type="dcterms:W3CDTF">2024-08-05T10:01:00Z</dcterms:modified>
</cp:coreProperties>
</file>